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351"/>
        <w:gridCol w:w="1559"/>
        <w:gridCol w:w="3402"/>
        <w:gridCol w:w="1559"/>
        <w:gridCol w:w="3969"/>
      </w:tblGrid>
      <w:tr>
        <w:tc>
          <w:tcPr>
            <w:tcW w:w="1464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Direct Reports:</w:t>
            </w:r>
          </w:p>
        </w:tc>
        <w:tc>
          <w:tcPr>
            <w:tcW w:w="335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NA </w:t>
            </w:r>
          </w:p>
        </w:tc>
        <w:tc>
          <w:tcPr>
            <w:tcW w:w="1559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Reports To: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Head of Pharma &amp; NHS Services</w:t>
            </w:r>
          </w:p>
        </w:tc>
        <w:tc>
          <w:tcPr>
            <w:tcW w:w="1559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Version: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V2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sz w:val="20"/>
          <w:szCs w:val="20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9639"/>
      </w:tblGrid>
      <w:tr>
        <w:trPr>
          <w:trHeight w:val="525" w:hRule="atLeast"/>
        </w:trPr>
        <w:tc>
          <w:tcPr>
            <w:tcW w:w="5665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Role Purpose:</w:t>
            </w:r>
          </w:p>
        </w:tc>
        <w:tc>
          <w:tcPr>
            <w:tcW w:w="9639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Key Accountabilities (max 6)</w:t>
            </w:r>
          </w:p>
        </w:tc>
      </w:tr>
      <w:tr>
        <w:tc>
          <w:tcPr>
            <w:tcW w:w="566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To build and maintain profitable relationships with new and existing Pharmaceutical manufacturers, to drive growth and revenue by identifying opportunities to upsell, cross-sell, or expand Lloyds Clinical’s products or services within assigned accounts</w:t>
            </w:r>
          </w:p>
        </w:tc>
        <w:tc>
          <w:tcPr>
            <w:tcW w:w="963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1. Lead and manage new sales opportunities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2. Contribute to &amp; influence the bid, tenders, RFPs, and pitch processes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3. Lead the relationship management for the assigned accounts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4. Lead and manage the commercial performance of the assigned accounts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5. Develop and manage key relationships to support the sales effort and business development opportunities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sz w:val="20"/>
          <w:szCs w:val="20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9"/>
        <w:gridCol w:w="3685"/>
      </w:tblGrid>
      <w:tr>
        <w:tc>
          <w:tcPr>
            <w:tcW w:w="11619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Key Accountabilities:</w:t>
            </w:r>
          </w:p>
        </w:tc>
        <w:tc>
          <w:tcPr>
            <w:tcW w:w="3685" w:type="dxa"/>
            <w:shd w:val="clear" w:color="auto" w:fill="0533A1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Key Measures of Success:</w:t>
            </w:r>
          </w:p>
        </w:tc>
      </w:tr>
      <w:tr>
        <w:tc>
          <w:tcPr>
            <w:tcW w:w="11619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Lead and manage new sales opportunities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Develop market, regional, competitor and customer intelligence and insight to identify and influence new and emerging opportunities 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Conduct thorough needs assessments to understand customer requirements and provide tailored solutions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Lead and manage new opportunity development (including opportunities within existing frameworks/contracts)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Develop and deliver a robust new business pipeline; including CRM updates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Achieve qualified pipeline target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Achieve a defined sales target each quarter/year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20"/>
                <w:szCs w:val="20"/>
                <w:lang w:val="en-GB" w:eastAsia="en-GB" w:bidi="en-GB"/>
              </w:rPr>
            </w:pPr>
          </w:p>
        </w:tc>
      </w:tr>
      <w:tr>
        <w:tc>
          <w:tcPr>
            <w:tcW w:w="11619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Contribute to &amp; influence the bid, tenders, RFPs, and pitch processes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Advise and provide subject matter expertise on the suitability of tenders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Contribute to the bid/tender/RFP management process, including customer pitches and presentations where required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Lead on contract negotiations to secure new business opportunities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Draft commercial approval papers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Ensure all contracts and SLAs are accurately completed and signed by the client once converted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Contribute to lessons learnt reviews for both won and lost opportunities to influence future actions and decisions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Achieve agreed win rate for all contributed bid, tender, RFP, and pitch processes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All contracts and SLA are accurate and signed by the right people </w:t>
            </w:r>
          </w:p>
        </w:tc>
      </w:tr>
      <w:tr>
        <w:tc>
          <w:tcPr>
            <w:tcW w:w="11619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Lead the relationship management for the assigned accounts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Lead on customer engagement, develop and nurture strong relationships with key stakeholders within the assigned accounts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Manage the customer in line with the agreed contractual arrangements and SLA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Consolidate and present performance data/insight back to the client, including the identification of opportunities and risks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Act as a point of contact for escalated customer issues, including CAPA (corrective and preventative actions), contributing to serious incident meetings where required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Proactively update and manage CRM with accurate data and insight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Achieve agreed customer satisfaction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Full SLA compliance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CRM completion and accuracy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20"/>
                <w:szCs w:val="20"/>
                <w:lang w:val="en-GB" w:eastAsia="en-GB" w:bidi="en-GB"/>
              </w:rPr>
            </w:pPr>
          </w:p>
        </w:tc>
      </w:tr>
      <w:tr>
        <w:tc>
          <w:tcPr>
            <w:tcW w:w="11619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Lead and manage the commercial performance of the assigned accounts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Develop and implement targeted sales plans for existing accounts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Prepare for and lead the review meetings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Monitor and analyse sales data to generate accurate forecasts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Utilise contract data, analytics and insight to develop relationships and sales opportunities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Identify and pursue up-selling and cross-selling opportunities to maximise revenue within existing accounts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Utilise CRM to prepare regular reports and updates on account activities, revenue growth, and pipeline status to aid decision-making and to influence the customers on future opportunities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Accounts achieve agreed sales targets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Upselling/cross selling opportunities converted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Maintain agreed contract renewal rate for all expiring contracts </w:t>
            </w:r>
          </w:p>
        </w:tc>
      </w:tr>
      <w:tr>
        <w:tc>
          <w:tcPr>
            <w:tcW w:w="11619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sz w:val="20"/>
                <w:szCs w:val="20"/>
                <w:lang w:val="en-GB" w:eastAsia="en-GB" w:bidi="en-GB"/>
              </w:rPr>
              <w:t xml:space="preserve">Develop and manage key relationships to support the sales effort and business development opportunities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Proactively work in partnership with: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Marketing to plan and create the right collateral to aid the sales process and account management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Data to acquire the right commercial information to influence selling and business development options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Patient Services and Complaints to understand key themes that influence the patient experience, developing plans to address these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Legal to support complex negotiations or contracts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Nursing and Pharmacy services to gain additional subject matter expertise to support the sales process or address/manage customer queries/objections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Finance to understand changes and options within the pricing models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ind w:left="1440"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Implementation to hand over new opportunities into the business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Coach and mentor members of the wider commercial team to educate on sales, services, lessons learnt etc to deepen and broaden subject matter expertise to aid the sales process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Identify, develop and nurture external stakeholder relationships that can positively influence sales decisions and account management opportunities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Positive stakeholder feedback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Key stakeholders engaged at the right time to influence positive sales and account management outcomes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4"/>
      </w:tblGrid>
      <w:tr>
        <w:tc>
          <w:tcPr>
            <w:tcW w:w="15304" w:type="dxa"/>
            <w:tcBorders>
              <w:top w:val="single" w:sz="4" w:space="0" w:color="auto"/>
            </w:tcBorders>
            <w:shd w:val="clear" w:color="auto" w:fill="0533A1"/>
            <w:vAlign w:val="top"/>
          </w:tcPr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GB" w:eastAsia="en-GB" w:bidi="en-GB"/>
              </w:rPr>
              <w:t xml:space="preserve">Enablers to the Role (Skills, Knowledge, Experience)</w:t>
            </w:r>
          </w:p>
        </w:tc>
      </w:tr>
      <w:tr>
        <w:tc>
          <w:tcPr>
            <w:tcW w:w="15304" w:type="dxa"/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 minimum of 18 months Account Management and/or Business Development experience within a Pharma or healthcare organisation.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Sales experience managing a wide portfolio of products and/or services.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 proven track record of leveraging customer relationships to meet defined targets.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Experience of contributing, building and to adapting to national level strategy and business planning.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Strong stakeholder engagement experience.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 track record of working closely with a wide range of internal stakeholders.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Willing to travel to a regular basis to meet customers and attend internal meetings as required.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Experience of utilising remote methods of communication with all stakeholders.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 minimum of an intermediate skill level of MS Office 365.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Experience of utilising sales data on a regular basis to direct focus.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A valid UK Vehicle licence.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Experience of using Customer Relationship Management software.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 w:eastAsia="en-GB" w:bidi="en-GB"/>
              </w:rPr>
              <w:t xml:space="preserve">Knowledge of the Homecare market.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  <w:lang w:val="en-GB" w:eastAsia="en-GB" w:bidi="en-GB"/>
        </w:rPr>
      </w:pPr>
      <w:r>
        <w:rPr>
          <w:b/>
          <w:bCs/>
          <w:sz w:val="20"/>
          <w:szCs w:val="20"/>
          <w:lang w:val="en-GB" w:eastAsia="en-GB" w:bidi="en-GB"/>
        </w:rPr>
        <w:t xml:space="preserve">The Key Performance Indicators (KIPs) that the Commercial team are accountable for, are as follows: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  <w:lang w:val="en-GB" w:eastAsia="en-GB" w:bidi="en-GB"/>
        </w:rPr>
      </w:pPr>
      <w:r>
        <w:rPr>
          <w:b/>
          <w:bCs/>
          <w:sz w:val="20"/>
          <w:szCs w:val="20"/>
          <w:lang w:val="en-GB" w:eastAsia="en-GB" w:bidi="en-GB"/>
        </w:rPr>
        <w:drawing>
          <wp:inline distT="0" distB="0" distL="0" distR="0">
            <wp:extent cx="9695815" cy="3570605"/>
            <wp:docPr id="2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9695815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en-GB" w:eastAsia="en-GB" w:bidi="en-GB"/>
        </w:rPr>
      </w:pPr>
    </w:p>
    <w:sectPr>
      <w:headerReference w:type="default" r:id="rId00008"/>
      <w:footerReference w:type="default" r:id="rId00009"/>
      <w:pgSz w:w="16838" w:h="11906" w:orient="landscape"/>
      <w:pgMar w:top="720" w:right="720" w:bottom="720" w:left="720" w:header="708" w:footer="70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lang w:val="en-GB" w:eastAsia="en-GB" w:bidi="en-GB"/>
      </w:rPr>
    </w:pPr>
    <w:sdt>
      <w:sdtPr>
        <w:id w:val="-1862965504"/>
        <w:docPartObj>
          <w:docPartGallery w:val="Page Numbers (Bottom of Page)"/>
          <w:docPartUnique/>
        </w:docPartObj>
      </w:sdtPr>
      <w:sdtEndPr/>
      <w:sdtContent>
        <w:r>
          <w:rPr>
            <w:lang w:val="en-GB" w:eastAsia="en-GB" w:bidi="en-GB"/>
          </w:rPr>
          <w:t xml:space="preserve">Page </w:t>
        </w:r>
      </w:sdtContent>
    </w:sdt>
    <w:r>
      <w:rPr>
        <w:b/>
        <w:bCs/>
        <w:noProof/>
        <w:lang w:val="en-GB" w:eastAsia="en-GB" w:bidi="en-GB"/>
      </w:rPr>
      <w:fldChar w:fldCharType="begin"/>
    </w:r>
    <w:r>
      <w:rPr>
        <w:b/>
        <w:bCs/>
        <w:noProof/>
        <w:lang w:val="en-GB" w:eastAsia="en-GB" w:bidi="en-GB"/>
      </w:rPr>
      <w:instrText xml:space="preserve"> PAGE \* Arabic \* MERGEFORMAT </w:instrText>
    </w:r>
    <w:r>
      <w:rPr>
        <w:b/>
        <w:bCs/>
        <w:noProof/>
        <w:lang w:val="en-GB" w:eastAsia="en-GB" w:bidi="en-GB"/>
      </w:rPr>
      <w:fldChar w:fldCharType="separate"/>
    </w:r>
    <w:r>
      <w:rPr>
        <w:b/>
        <w:bCs/>
        <w:noProof/>
        <w:lang w:val="en-GB" w:eastAsia="en-GB" w:bidi="en-GB"/>
      </w:rPr>
      <w:t xml:space="preserve">1</w:t>
    </w:r>
    <w:r>
      <w:rPr>
        <w:lang w:val="en-GB" w:eastAsia="en-GB" w:bidi="en-GB"/>
      </w:rPr>
      <w:fldChar w:fldCharType="end"/>
    </w:r>
    <w:r>
      <w:rPr>
        <w:lang w:val="en-GB" w:eastAsia="en-GB" w:bidi="en-GB"/>
      </w:rPr>
      <w:t xml:space="preserve"> of </w:t>
    </w:r>
    <w:r>
      <w:rPr>
        <w:b/>
        <w:bCs/>
        <w:noProof/>
        <w:lang w:val="en-GB" w:eastAsia="en-GB" w:bidi="en-GB"/>
      </w:rPr>
      <w:fldChar w:fldCharType="begin"/>
    </w:r>
    <w:r>
      <w:rPr>
        <w:b/>
        <w:bCs/>
        <w:noProof/>
        <w:lang w:val="en-GB" w:eastAsia="en-GB" w:bidi="en-GB"/>
      </w:rPr>
      <w:instrText xml:space="preserve"> NUMPAGES \* Arabic \* MERGEFORMAT </w:instrText>
    </w:r>
    <w:r>
      <w:rPr>
        <w:b/>
        <w:bCs/>
        <w:noProof/>
        <w:lang w:val="en-GB" w:eastAsia="en-GB" w:bidi="en-GB"/>
      </w:rPr>
      <w:fldChar w:fldCharType="separate"/>
    </w:r>
    <w:r>
      <w:rPr>
        <w:b/>
        <w:bCs/>
        <w:noProof/>
        <w:lang w:val="en-GB" w:eastAsia="en-GB" w:bidi="en-GB"/>
      </w:rPr>
      <w:t xml:space="preserve">4</w:t>
    </w:r>
    <w:r>
      <w:rPr>
        <w:lang w:val="en-GB" w:eastAsia="en-GB" w:bidi="en-GB"/>
      </w:rPr>
      <w:fldChar w:fldCharType="end"/>
    </w:r>
  </w:p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lang w:val="en-GB" w:eastAsia="en-GB" w:bidi="en-GB"/>
      </w:rPr>
    </w:pPr>
    <w:r>
      <w:rPr>
        <w:lang w:val="en-GB" w:eastAsia="en-GB" w:bidi="en-GB"/>
      </w:rPr>
      <w:drawing>
        <wp:inline distT="0" distB="0" distL="0" distR="0">
          <wp:extent cx="926465" cy="617855"/>
          <wp:docPr id="1" name="Picture 3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92646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  <w:rPr>
        <w:rFonts w:hint="default" w:ascii="Calibri" w:hAnsi="Calibri" w:eastAsia="Calibri" w:cs="Calibri"/>
        <w:b w:val="on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pPr>
        <w:ind w:left="720" w:hanging="360"/>
        <w:tabs>
          <w:tab w:val="num" w:pos="720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  <w:lvl w:ilvl="1">
      <w:start w:val="1"/>
      <w:numFmt w:val="bullet"/>
      <w:suff w:val="tab"/>
      <w:lvlText w:val="-"/>
      <w:pPr>
        <w:ind w:left="1440" w:hanging="360"/>
        <w:tabs>
          <w:tab w:val="num" w:pos="1440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2">
    <w:multiLevelType w:val="singleLevel"/>
    <w:lvl w:ilvl="0">
      <w:start w:val="1"/>
      <w:numFmt w:val="bullet"/>
      <w:suff w:val="tab"/>
      <w:lvlText w:val="-"/>
      <w:pPr>
        <w:ind w:left="357" w:hanging="357"/>
        <w:tabs>
          <w:tab w:val="num" w:pos="357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3">
    <w:multiLevelType w:val="singleLevel"/>
    <w:lvl w:ilvl="0">
      <w:start w:val="5"/>
      <w:numFmt w:val="decimal"/>
      <w:suff w:val="tab"/>
      <w:lvlText w:val="%1."/>
      <w:pPr>
        <w:ind w:left="360" w:hanging="360"/>
        <w:tabs>
          <w:tab w:val="num" w:pos="360"/>
        </w:tabs>
      </w:pPr>
      <w:rPr>
        <w:rFonts w:hint="default" w:ascii="Calibri" w:hAnsi="Calibri" w:eastAsia="Calibri" w:cs="Calibri"/>
        <w:b w:val="on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character" w:styleId="Header Char" w:customStyle="1">
    <w:name w:val="Header Char"/>
    <w:qFormat/>
    <w:rPr>
      <w:rtl w:val="off"/>
    </w:rPr>
  </w:style>
  <w:style w:type="character" w:styleId="Footer Char" w:customStyle="1">
    <w:name w:val="Footer Char"/>
    <w:qFormat/>
    <w:rPr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8" Type="http://schemas.openxmlformats.org/officeDocument/2006/relationships/header" Target="header0001.xml"/>
	<Relationship Id="rId00009" Type="http://schemas.openxmlformats.org/officeDocument/2006/relationships/footer" Target="footer0001.xml"/>
	<Relationship Id="rId00007" Type="http://schemas.openxmlformats.org/officeDocument/2006/relationships/image" Target="media/image0002.png"/>
	<Relationship Id="rId00010" Type="http://schemas.openxmlformats.org/officeDocument/2006/relationships/numbering" Target="numbering.xml"/>
	<Relationship Id="rId00011" Type="http://schemas.openxmlformats.org/officeDocument/2006/relationships/fontTable" Target="fontTable.xml"/>
	<Relationship Id="rId00012" Type="http://schemas.openxmlformats.org/officeDocument/2006/relationships/settings" Target="settings.xml"/>
</Relationships>
</file>

<file path=word/_rels/header0001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jp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Nixon</dc:creator>
  <dcterms:created xsi:type="dcterms:W3CDTF">2026-05-27T15:32:00Z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0x01010031C68A4483D69042A162B8644F415C96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Tag">
    <vt:lpwstr>10, 3, 0, 1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ActionId">
    <vt:lpwstr>102628dc-cf16-4880-b6fd-8c67ea8d0120</vt:lpwstr>
  </property>
  <property fmtid="{D5CDD505-2E9C-101B-9397-08002B2CF9AE}" pid="9" name="MSIP_Label_defa4170-0d19-0005-0004-bc88714345d2_SiteId">
    <vt:lpwstr>b6545548-c82b-47c9-bb51-32c0c04834b1</vt:lpwstr>
  </property>
  <property fmtid="{D5CDD505-2E9C-101B-9397-08002B2CF9AE}" pid="10" name="MSIP_Label_defa4170-0d19-0005-0004-bc88714345d2_SetDate">
    <vt:lpwstr>2025-07-18T15:06:49Z</vt:lpwstr>
  </property>
  <property fmtid="{D5CDD505-2E9C-101B-9397-08002B2CF9AE}" pid="11" name="GrammarlyDocumentId">
    <vt:lpwstr>494ace1251ea7e6f4589829fe76f46fa3147560338db4f6dd1e90835af7bfdfe</vt:lpwstr>
  </property>
</Properties>
</file>